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0E43B8" w:rsidP="005E3E8C">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5E3E8C">
                      <w:rPr>
                        <w:b/>
                        <w:sz w:val="44"/>
                        <w:szCs w:val="44"/>
                        <w:lang w:val="uk-UA"/>
                      </w:rPr>
                      <w:t>6</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1468D4">
                      <w:rPr>
                        <w:b/>
                        <w:sz w:val="44"/>
                        <w:szCs w:val="44"/>
                        <w:lang w:val="uk-UA"/>
                      </w:rPr>
                      <w:t>3</w:t>
                    </w:r>
                    <w:r w:rsidR="005E3E8C">
                      <w:rPr>
                        <w:b/>
                        <w:sz w:val="44"/>
                        <w:szCs w:val="44"/>
                        <w:lang w:val="uk-UA"/>
                      </w:rPr>
                      <w:t>0</w:t>
                    </w:r>
                    <w:r w:rsidR="00AA4714">
                      <w:rPr>
                        <w:b/>
                        <w:sz w:val="44"/>
                        <w:szCs w:val="44"/>
                        <w:lang w:val="uk-UA"/>
                      </w:rPr>
                      <w:t>.</w:t>
                    </w:r>
                    <w:r w:rsidR="00047680">
                      <w:rPr>
                        <w:b/>
                        <w:sz w:val="44"/>
                        <w:szCs w:val="44"/>
                        <w:lang w:val="uk-UA"/>
                      </w:rPr>
                      <w:t>0</w:t>
                    </w:r>
                    <w:r w:rsidR="005E3E8C">
                      <w:rPr>
                        <w:b/>
                        <w:sz w:val="44"/>
                        <w:szCs w:val="44"/>
                        <w:lang w:val="uk-UA"/>
                      </w:rPr>
                      <w:t>6</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6E5BDD1E" wp14:editId="553EB12C">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611FC6C4" wp14:editId="1B19289E">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2F37FFF4" wp14:editId="12630338">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7B7F2B12" wp14:editId="58A4466D">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312EAB3A" wp14:editId="666B8B9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lastRenderedPageBreak/>
        <w:t>У разі, якщо особа перебувала на виборній посаді, яка регулюється нормами Закону України «Про місцеве самоврядування в Україні», положення Кодексу законів про працю України в частині виплати такій особі вихідної допомоги не застосовуються.</w:t>
      </w: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07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16 лютого 2021 року за позовом фізичної особи до сільської ради про визнання протиправною бездіяльності та зобов’язання вчинити певні дії.</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Приводом для звернення до суду слугувала відмова сільської ради нарахувати та виплатити особі вихідну допомогу у розмірі шести середніх заробітних плат, передбачену статтею 44 Кодексу законів про працю України внаслідок припинення повноважень посадової особи органу місцевого самоврядування.</w:t>
      </w: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наслідками апеляційного перегляду зазначеної справи, Перший ААС погодився з висновком суду першої інстанції про те, що посада заступника сільського голови є виборною, а строк перебування на ній передбачений до сформування нового складу виконавчого к</w:t>
      </w:r>
      <w:bookmarkStart w:id="0" w:name="_GoBack"/>
      <w:bookmarkEnd w:id="0"/>
      <w:r w:rsidRPr="005E3E8C">
        <w:rPr>
          <w:rFonts w:ascii="Times New Roman" w:eastAsia="Calibri" w:hAnsi="Times New Roman" w:cs="Times New Roman"/>
          <w:sz w:val="28"/>
          <w:szCs w:val="28"/>
          <w:lang w:val="uk-UA"/>
        </w:rPr>
        <w:t xml:space="preserve">омітету та підстава для звільнення визначена частиною 1 статті 51 </w:t>
      </w:r>
      <w:hyperlink r:id="rId12" w:tgtFrame="_blank" w:tooltip="Про місцеве самоврядування в Україні; нормативно-правовий акт № 280/97-ВР від 21.05.1997" w:history="1">
        <w:r w:rsidRPr="005E3E8C">
          <w:rPr>
            <w:rFonts w:ascii="Times New Roman" w:eastAsia="Calibri" w:hAnsi="Times New Roman" w:cs="Times New Roman"/>
            <w:sz w:val="28"/>
            <w:szCs w:val="28"/>
            <w:lang w:val="uk-UA"/>
          </w:rPr>
          <w:t>Закону України «Про місцеве самоврядування в Україні»</w:t>
        </w:r>
      </w:hyperlink>
      <w:r w:rsidRPr="005E3E8C">
        <w:rPr>
          <w:rFonts w:ascii="Times New Roman" w:eastAsia="Calibri" w:hAnsi="Times New Roman" w:cs="Times New Roman"/>
          <w:sz w:val="28"/>
          <w:szCs w:val="28"/>
          <w:lang w:val="uk-UA"/>
        </w:rPr>
        <w:t>.</w:t>
      </w: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За таких обставин, </w:t>
      </w:r>
      <w:hyperlink r:id="rId13" w:anchor="49519" w:tgtFrame="_blank" w:tooltip="Кодекс законів про працю України" w:history="1">
        <w:r w:rsidRPr="005E3E8C">
          <w:rPr>
            <w:rFonts w:ascii="Times New Roman" w:eastAsia="Calibri" w:hAnsi="Times New Roman" w:cs="Times New Roman"/>
            <w:sz w:val="28"/>
            <w:szCs w:val="28"/>
            <w:lang w:val="uk-UA"/>
          </w:rPr>
          <w:t>стаття 44 КЗпП України</w:t>
        </w:r>
      </w:hyperlink>
      <w:r w:rsidRPr="005E3E8C">
        <w:rPr>
          <w:rFonts w:ascii="Times New Roman" w:eastAsia="Calibri" w:hAnsi="Times New Roman" w:cs="Times New Roman"/>
          <w:sz w:val="28"/>
          <w:szCs w:val="28"/>
          <w:lang w:val="uk-UA"/>
        </w:rPr>
        <w:t>, як загальна норма права до спірних правовідносин не може бути застосована.</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07 червня 2021 року по справі         № 200/12240/20-а можна ознайомитися за посиланням </w:t>
      </w:r>
      <w:hyperlink r:id="rId14" w:history="1">
        <w:r w:rsidRPr="005E3E8C">
          <w:rPr>
            <w:rFonts w:ascii="Times New Roman" w:eastAsia="Calibri" w:hAnsi="Times New Roman" w:cs="Times New Roman"/>
            <w:color w:val="0000FF"/>
            <w:sz w:val="28"/>
            <w:szCs w:val="28"/>
            <w:u w:val="single"/>
            <w:lang w:val="uk-UA"/>
          </w:rPr>
          <w:t>http://reestr.court.gov.ua/Review/97459233</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lastRenderedPageBreak/>
        <w:t>У разі переміщення військовослужбовця по службі, останній має право на отримання компенсації за невикористану ним відпустку (частину відпустки) за новим місцем військової служби.</w:t>
      </w:r>
    </w:p>
    <w:p w:rsidR="005E3E8C" w:rsidRPr="005E3E8C" w:rsidRDefault="005E3E8C" w:rsidP="005E3E8C">
      <w:pPr>
        <w:spacing w:after="0" w:line="360" w:lineRule="auto"/>
        <w:ind w:firstLine="567"/>
        <w:rPr>
          <w:rFonts w:ascii="Times New Roman" w:eastAsia="Calibri" w:hAnsi="Times New Roman" w:cs="Times New Roman"/>
          <w:b/>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03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02 лютого 2021 року за позовом фізичної особи до зонального відділу Військової служби правопорядку про визнання протиправною бездіяльності, зобов’язання вчинити певні дії.</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Звертаючись до суду особа зазначила про те, що у порушення вимог чинного законодавства їй не </w:t>
      </w:r>
      <w:proofErr w:type="spellStart"/>
      <w:r w:rsidRPr="005E3E8C">
        <w:rPr>
          <w:rFonts w:ascii="Times New Roman" w:eastAsia="Calibri" w:hAnsi="Times New Roman" w:cs="Times New Roman"/>
          <w:sz w:val="28"/>
          <w:szCs w:val="28"/>
          <w:lang w:val="uk-UA"/>
        </w:rPr>
        <w:t>виплачено</w:t>
      </w:r>
      <w:proofErr w:type="spellEnd"/>
      <w:r w:rsidRPr="005E3E8C">
        <w:rPr>
          <w:rFonts w:ascii="Times New Roman" w:eastAsia="Calibri" w:hAnsi="Times New Roman" w:cs="Times New Roman"/>
          <w:sz w:val="28"/>
          <w:szCs w:val="28"/>
          <w:lang w:val="uk-UA"/>
        </w:rPr>
        <w:t xml:space="preserve"> грошову компенсацію за невикористані дні додаткової соціальної відпустки, як одинокій матері за час проходження служби за контрактом, а також за невикористані дні щорічної основної відпустки та додаткової відпустки за попередній рік.</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те, що зональний відділ Військової служби правопорядку не несе відповідальність щодо не проведення розрахунку з позивачем за певний період з урахуванням того, що останній не проходив службу у відповідача у цей період і до складу вищевказаної установи його зараховано пізніше.</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Перший ААС вважав такий висновок окружного адміністративного суду помилковим посилаючись на те, що хоча законом України «Про соціальний і правовий захист військовослужбовців та членів їх сімей» і визначено, що в особливий період з моменту оголошення мобілізації припиняється надання військовослужбовцям, зокрема, додаткової соціальної відпустки.</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Разом з тим, цим законом не встановлено, що військовослужбовці втрачають право на відповідний вид відпустки, а відтак, відповідна соціальна </w:t>
      </w:r>
      <w:r w:rsidRPr="005E3E8C">
        <w:rPr>
          <w:rFonts w:ascii="Times New Roman" w:eastAsia="Calibri" w:hAnsi="Times New Roman" w:cs="Times New Roman"/>
          <w:sz w:val="28"/>
          <w:szCs w:val="28"/>
          <w:lang w:val="uk-UA"/>
        </w:rPr>
        <w:lastRenderedPageBreak/>
        <w:t>гарантія може бути реалізована військовослужбовцем шляхом, зокрема, отримання грошової компенсації.</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Крім того, пунктом 181 Положення про проходження громадянами України військової служби у Збройних силах України, затвердженого Указом Президента України від 10 грудня 2008 року № 1153/2008 встановлено, серед іншого, що у разі переміщення військовослужбовця по службі, невикористана ним відпустка (частина відпустки) надається за новим місцем військової служби.</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На підставі вищезазначеного, Перший ААС дійшов висновку про те, що після переміщення особи по службі з військової частини до військової служби правопорядку, невикористана нею відпустка повинна надаватись за новим місцем військової служби, тобто зональним відділом Військової служби правопорядку.</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03 червня 2021 року по справі         № 200/11105/20-а можна ознайомитися за посиланням </w:t>
      </w:r>
      <w:hyperlink r:id="rId15" w:history="1">
        <w:r w:rsidRPr="005E3E8C">
          <w:rPr>
            <w:rFonts w:ascii="Times New Roman" w:eastAsia="Calibri" w:hAnsi="Times New Roman" w:cs="Times New Roman"/>
            <w:color w:val="0000FF"/>
            <w:sz w:val="28"/>
            <w:szCs w:val="28"/>
            <w:u w:val="single"/>
            <w:lang w:val="uk-UA"/>
          </w:rPr>
          <w:t>http://reestr.court.gov.ua/Review/97390720</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t>У разі якщо паперова та електронна версії висновку про результати моніторингу закупівлі не є ідентичними, він вважається таким, що сформований з порушенням визначеної законом процедури та підлягає скасуванню.</w:t>
      </w: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03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 xml:space="preserve">Першим апеляційним адміністративним судом розглянуто у письмовому провадженні адміністративну справу за апеляційною скаргою офісу </w:t>
      </w:r>
      <w:proofErr w:type="spellStart"/>
      <w:r w:rsidRPr="005E3E8C">
        <w:rPr>
          <w:rFonts w:ascii="Times New Roman" w:eastAsia="Calibri" w:hAnsi="Times New Roman" w:cs="Times New Roman"/>
          <w:sz w:val="28"/>
          <w:szCs w:val="28"/>
          <w:lang w:val="uk-UA"/>
        </w:rPr>
        <w:t>Держаудитслужби</w:t>
      </w:r>
      <w:proofErr w:type="spellEnd"/>
      <w:r w:rsidRPr="005E3E8C">
        <w:rPr>
          <w:rFonts w:ascii="Times New Roman" w:eastAsia="Calibri" w:hAnsi="Times New Roman" w:cs="Times New Roman"/>
          <w:sz w:val="28"/>
          <w:szCs w:val="28"/>
          <w:lang w:val="uk-UA"/>
        </w:rPr>
        <w:t xml:space="preserve"> на рішення Донецького окружного адміністративного суду від 17 листопада 2020 року за позовом Державного підприємства до офісу </w:t>
      </w:r>
      <w:proofErr w:type="spellStart"/>
      <w:r w:rsidRPr="005E3E8C">
        <w:rPr>
          <w:rFonts w:ascii="Times New Roman" w:eastAsia="Calibri" w:hAnsi="Times New Roman" w:cs="Times New Roman"/>
          <w:sz w:val="28"/>
          <w:szCs w:val="28"/>
          <w:lang w:val="uk-UA"/>
        </w:rPr>
        <w:t>Держаудитслужби</w:t>
      </w:r>
      <w:proofErr w:type="spellEnd"/>
      <w:r w:rsidRPr="005E3E8C">
        <w:rPr>
          <w:rFonts w:ascii="Times New Roman" w:eastAsia="Calibri" w:hAnsi="Times New Roman" w:cs="Times New Roman"/>
          <w:sz w:val="28"/>
          <w:szCs w:val="28"/>
          <w:lang w:val="uk-UA"/>
        </w:rPr>
        <w:t xml:space="preserve"> в особі обласного управління офісу </w:t>
      </w:r>
      <w:proofErr w:type="spellStart"/>
      <w:r w:rsidRPr="005E3E8C">
        <w:rPr>
          <w:rFonts w:ascii="Times New Roman" w:eastAsia="Calibri" w:hAnsi="Times New Roman" w:cs="Times New Roman"/>
          <w:sz w:val="28"/>
          <w:szCs w:val="28"/>
          <w:lang w:val="uk-UA"/>
        </w:rPr>
        <w:t>Держаудитслужби</w:t>
      </w:r>
      <w:proofErr w:type="spellEnd"/>
      <w:r w:rsidRPr="005E3E8C">
        <w:rPr>
          <w:rFonts w:ascii="Times New Roman" w:eastAsia="Calibri" w:hAnsi="Times New Roman" w:cs="Times New Roman"/>
          <w:sz w:val="28"/>
          <w:szCs w:val="28"/>
          <w:lang w:val="uk-UA"/>
        </w:rPr>
        <w:t>, третя особа – Товариство про визнання протиправним та скасування висновку про результати моніторингу закупівлі.</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lastRenderedPageBreak/>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Причиною звернення до суду слугував висновок управління офісу </w:t>
      </w:r>
      <w:proofErr w:type="spellStart"/>
      <w:r w:rsidRPr="005E3E8C">
        <w:rPr>
          <w:rFonts w:ascii="Times New Roman" w:eastAsia="Calibri" w:hAnsi="Times New Roman" w:cs="Times New Roman"/>
          <w:sz w:val="28"/>
          <w:szCs w:val="28"/>
          <w:lang w:val="uk-UA"/>
        </w:rPr>
        <w:t>Держаудитслужби</w:t>
      </w:r>
      <w:proofErr w:type="spellEnd"/>
      <w:r w:rsidRPr="005E3E8C">
        <w:rPr>
          <w:rFonts w:ascii="Times New Roman" w:eastAsia="Calibri" w:hAnsi="Times New Roman" w:cs="Times New Roman"/>
          <w:sz w:val="28"/>
          <w:szCs w:val="28"/>
          <w:lang w:val="uk-UA"/>
        </w:rPr>
        <w:t xml:space="preserve"> про результати моніторингу закупівлі, у якому підприємство зобов’язано усунути виявлені під час проведення моніторингу порушення шляхом вжиття заходів щодо розірвання договору та оприлюднення інформації та/або документів, які б свідчили про усунення цих порушень, або обґрунтовані заперечення до висновку чи інформацію про причини неможливості усунення виявленого порушення.</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Вважаючи зазначений висновок таким, що не відповідає вимогам чинного законодавства та фактичним обставинам, державне підприємство звернулось до суду за захистом свого порушеного права. </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Вирішуючи наявний між сторонами спір, Перший ААС зазначив про наступне.</w:t>
      </w:r>
    </w:p>
    <w:p w:rsidR="005E3E8C" w:rsidRPr="005E3E8C" w:rsidRDefault="005E3E8C" w:rsidP="005E3E8C">
      <w:pPr>
        <w:numPr>
          <w:ilvl w:val="0"/>
          <w:numId w:val="12"/>
        </w:numPr>
        <w:spacing w:after="0" w:line="360" w:lineRule="auto"/>
        <w:ind w:left="0" w:firstLine="567"/>
        <w:contextualSpacing/>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Наявна в системі «</w:t>
      </w:r>
      <w:proofErr w:type="spellStart"/>
      <w:r w:rsidRPr="005E3E8C">
        <w:rPr>
          <w:rFonts w:ascii="Times New Roman" w:eastAsia="Calibri" w:hAnsi="Times New Roman" w:cs="Times New Roman"/>
          <w:sz w:val="28"/>
          <w:szCs w:val="28"/>
          <w:lang w:val="uk-UA"/>
        </w:rPr>
        <w:t>Прозорро</w:t>
      </w:r>
      <w:proofErr w:type="spellEnd"/>
      <w:r w:rsidRPr="005E3E8C">
        <w:rPr>
          <w:rFonts w:ascii="Times New Roman" w:eastAsia="Calibri" w:hAnsi="Times New Roman" w:cs="Times New Roman"/>
          <w:sz w:val="28"/>
          <w:szCs w:val="28"/>
          <w:lang w:val="uk-UA"/>
        </w:rPr>
        <w:t xml:space="preserve">» інформація щодо оскаржуваного висновку в частині осіб, що його підписали свідчить про те, що розміщений в електронному вигляді висновок, у порушення вимог частини 2 статті 7-1 закону України «Про публічні закупівлі» від 25 грудня 2015 року № 922-VIII підписаний одночасно трьома посадовими особами.  При цьому, додаток до електронної копії висновку за своїм змістом відрізняється від паперової засвідченої копії, оскільки містить інформацію лише про досліджувану закупівлю підприємства без зазначення решти трьох процедур </w:t>
      </w:r>
      <w:proofErr w:type="spellStart"/>
      <w:r w:rsidRPr="005E3E8C">
        <w:rPr>
          <w:rFonts w:ascii="Times New Roman" w:eastAsia="Calibri" w:hAnsi="Times New Roman" w:cs="Times New Roman"/>
          <w:sz w:val="28"/>
          <w:szCs w:val="28"/>
          <w:lang w:val="uk-UA"/>
        </w:rPr>
        <w:t>закупівель</w:t>
      </w:r>
      <w:proofErr w:type="spellEnd"/>
      <w:r w:rsidRPr="005E3E8C">
        <w:rPr>
          <w:rFonts w:ascii="Times New Roman" w:eastAsia="Calibri" w:hAnsi="Times New Roman" w:cs="Times New Roman"/>
          <w:sz w:val="28"/>
          <w:szCs w:val="28"/>
          <w:lang w:val="uk-UA"/>
        </w:rPr>
        <w:t>, які наведені у паперовій копії додатку.</w:t>
      </w:r>
    </w:p>
    <w:p w:rsidR="005E3E8C" w:rsidRPr="005E3E8C" w:rsidRDefault="005E3E8C" w:rsidP="005E3E8C">
      <w:pPr>
        <w:numPr>
          <w:ilvl w:val="0"/>
          <w:numId w:val="12"/>
        </w:numPr>
        <w:spacing w:after="0" w:line="360" w:lineRule="auto"/>
        <w:ind w:left="0" w:firstLine="567"/>
        <w:contextualSpacing/>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Обидві версії висновку (паперова та електронна) не є ідентичними за своєю формою та змістом, що свідчить про не відповідність їх вимогам, у тому числі, п. 1-6 розділу І Порядку заповнення форми висновку про результати моніторингу закупівлі.</w:t>
      </w:r>
    </w:p>
    <w:p w:rsidR="005E3E8C" w:rsidRPr="005E3E8C" w:rsidRDefault="005E3E8C" w:rsidP="005E3E8C">
      <w:pPr>
        <w:numPr>
          <w:ilvl w:val="0"/>
          <w:numId w:val="12"/>
        </w:numPr>
        <w:spacing w:after="0" w:line="360" w:lineRule="auto"/>
        <w:ind w:left="0" w:firstLine="567"/>
        <w:contextualSpacing/>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Встановлені невідповідності між електронною та паперовою версіями спірного висновку не відповідає вимогам </w:t>
      </w:r>
      <w:proofErr w:type="spellStart"/>
      <w:r w:rsidRPr="005E3E8C">
        <w:rPr>
          <w:rFonts w:ascii="Times New Roman" w:eastAsia="Calibri" w:hAnsi="Times New Roman" w:cs="Times New Roman"/>
          <w:sz w:val="28"/>
          <w:szCs w:val="28"/>
          <w:lang w:val="uk-UA"/>
        </w:rPr>
        <w:t>ст.ст</w:t>
      </w:r>
      <w:proofErr w:type="spellEnd"/>
      <w:r w:rsidRPr="005E3E8C">
        <w:rPr>
          <w:rFonts w:ascii="Times New Roman" w:eastAsia="Calibri" w:hAnsi="Times New Roman" w:cs="Times New Roman"/>
          <w:sz w:val="28"/>
          <w:szCs w:val="28"/>
          <w:lang w:val="uk-UA"/>
        </w:rPr>
        <w:t>. 5 та 7 Закону України «Про електронні документи та електронний документообіг» №851-</w:t>
      </w:r>
      <w:r w:rsidRPr="005E3E8C">
        <w:rPr>
          <w:rFonts w:ascii="Times New Roman" w:eastAsia="Calibri" w:hAnsi="Times New Roman" w:cs="Times New Roman"/>
          <w:sz w:val="28"/>
          <w:szCs w:val="28"/>
          <w:lang w:val="uk-UA"/>
        </w:rPr>
        <w:lastRenderedPageBreak/>
        <w:t>IV від 22 травня 2003 року, що є порушенням процедури оприлюднення висновку.</w:t>
      </w:r>
    </w:p>
    <w:p w:rsidR="005E3E8C" w:rsidRPr="005E3E8C" w:rsidRDefault="005E3E8C" w:rsidP="005E3E8C">
      <w:pPr>
        <w:spacing w:after="0" w:line="360" w:lineRule="auto"/>
        <w:ind w:firstLine="567"/>
        <w:contextualSpacing/>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Таким чином, спірний висновок не може вважатись правомірним та підлягає скасуванню.</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07 червня 2021 року по справі         № 200/6990/20-а можна ознайомитися за посиланням </w:t>
      </w:r>
      <w:hyperlink r:id="rId16" w:history="1">
        <w:r w:rsidRPr="005E3E8C">
          <w:rPr>
            <w:rFonts w:ascii="Times New Roman" w:eastAsia="Calibri" w:hAnsi="Times New Roman" w:cs="Times New Roman"/>
            <w:color w:val="0000FF"/>
            <w:sz w:val="28"/>
            <w:szCs w:val="28"/>
            <w:u w:val="single"/>
            <w:lang w:val="uk-UA"/>
          </w:rPr>
          <w:t>http://reestr.court.gov.ua/Review/97530702</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t>Право податкового органу на винесення податкової вимоги та прийняття рішення про опис майна у податкову заставу виникає виключно з дня виникнення податкового боргу.</w:t>
      </w: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15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апеляційну скаргу Приватного підприємства на рішення Донецького окружного адміністративного суду від 18 лютого 2021 року за позовом Приватного підприємства до Головного управління ДПС про визнання протиправною та скасування вимоги та рішення.</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Звертаючись до суду з позовом, підприємство зазначило про те, що податкова вимога та рішення про опис майна у податкову заставу прийняті податковим органом під час судового оскарження податкових повідомлень-рішень, а це означає, що ППР не є узгодженими, тому спірні вимога та рішення прийняті неправомірно та підлягають скасуванню.</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Відмовляючи у задоволенні позовних вимог, окружний адміністративний суд дійшов висновку про те, що станом на час вирішення даної справи ППР є чинними через що у підприємства наявний обов’язок сплачувати грошове зобов’язання, визначене відповідними ППР та визначеними у </w:t>
      </w:r>
      <w:proofErr w:type="spellStart"/>
      <w:r w:rsidRPr="005E3E8C">
        <w:rPr>
          <w:rFonts w:ascii="Times New Roman" w:eastAsia="Calibri" w:hAnsi="Times New Roman" w:cs="Times New Roman"/>
          <w:sz w:val="28"/>
          <w:szCs w:val="28"/>
          <w:lang w:val="uk-UA"/>
        </w:rPr>
        <w:t>вимозі</w:t>
      </w:r>
      <w:proofErr w:type="spellEnd"/>
      <w:r w:rsidRPr="005E3E8C">
        <w:rPr>
          <w:rFonts w:ascii="Times New Roman" w:eastAsia="Calibri" w:hAnsi="Times New Roman" w:cs="Times New Roman"/>
          <w:sz w:val="28"/>
          <w:szCs w:val="28"/>
          <w:lang w:val="uk-UA"/>
        </w:rPr>
        <w:t xml:space="preserve"> про сплату боргу.</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lastRenderedPageBreak/>
        <w:t>Скасовуючи рішення суду першої інстанції та ухвалюючи постанову про задоволення позовних вимог, Перший ААС керувався тим, що станом на час прийняття податкової вимоги та рішення про опис майна у податкову заставу, сума грошового зобов’язання за ППР була неузгодженою, оскільки судове рішення в іншій адміністративній справі, в рамках якої оскаржувались відповідні ППР не набрало законної сили.</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Таким чином, грошове зобов’язання, визначені ППР не набуло статусу податкового боргу, що виключає право контролюючого органу виносити, та, як наслідок, надсилати платнику податків податкову вимогу, а також приймати рішення про опис майна у податкову заставу, оскільки право такої застави виникає лише з дня виникнення податкового боргу.</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15 червня 2021 року по справі         № 200/9292/20-а можна ознайомитися за посиланням </w:t>
      </w:r>
      <w:hyperlink r:id="rId17" w:history="1">
        <w:r w:rsidRPr="005E3E8C">
          <w:rPr>
            <w:rFonts w:ascii="Times New Roman" w:eastAsia="Calibri" w:hAnsi="Times New Roman" w:cs="Times New Roman"/>
            <w:color w:val="0000FF"/>
            <w:sz w:val="28"/>
            <w:szCs w:val="28"/>
            <w:u w:val="single"/>
            <w:lang w:val="uk-UA"/>
          </w:rPr>
          <w:t>http://reestr.court.gov.ua/Review/97665509</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b/>
          <w:sz w:val="28"/>
          <w:szCs w:val="28"/>
          <w:lang w:val="uk-UA"/>
        </w:rPr>
        <w:t>Сам факт відображення податкового боргу в інтегрованій картці платника не є достатньою правовою підставою такого боргу у судовому порядку навіть за наявності узгоджених податкових повідомлень-рішень</w:t>
      </w:r>
      <w:r w:rsidRPr="005E3E8C">
        <w:rPr>
          <w:rFonts w:ascii="Times New Roman" w:eastAsia="Calibri" w:hAnsi="Times New Roman" w:cs="Times New Roman"/>
          <w:sz w:val="28"/>
          <w:szCs w:val="28"/>
          <w:lang w:val="uk-UA"/>
        </w:rPr>
        <w:t xml:space="preserve">. </w:t>
      </w:r>
    </w:p>
    <w:p w:rsidR="005E3E8C" w:rsidRPr="005E3E8C" w:rsidRDefault="005E3E8C" w:rsidP="005E3E8C">
      <w:pPr>
        <w:spacing w:after="0" w:line="360" w:lineRule="auto"/>
        <w:rPr>
          <w:rFonts w:ascii="Times New Roman" w:eastAsia="Calibri" w:hAnsi="Times New Roman" w:cs="Times New Roman"/>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16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апеляційну скаргу Східного міжрегіонального управління  ДПС по роботі з великими платниками податків на рішення Донецького окружного адміністративного суду від 09 грудня 2020 року за позовом Східного міжрегіональне управління ДПС по роботі з великими платниками податків до Товариства про стягнення коштів за податковим боргом.</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lastRenderedPageBreak/>
        <w:t>Через наявність в інтегрованій картці платника відомостей про те, що за Товариством рахується податковий борг, який виник через несплату штрафних санкцій, нарахованих податковими повідомленнями-рішеннями, орган податкової служби звернувся до суду з вимогою стягнути відповідний борг.</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наслідками апеляційного перегляду зазначеної справи, Перший ААС погодився з висновком суду першої інстанції про те, що оскільки матеріали справи не містять доказів складання та направлення Товариству відповідної податкової вимоги, то суд, наразі, позбавлений можливості як встановити факт наявності податкової вимоги, як невід’ємного елементу у процесі стягнення податкового боргу, так і відповідність такої (за наявності) вимогам чинного на момент її винесення законодавства.</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На переконання колегії судів апеляційної інстанції, сам факт відображення податкового боргу в інтегрованій картці платника навіть за наявності відповідних узгоджених податкових повідомлень-рішень не є достатньою правовою підставою такого боргу у судовому порядку.</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Ураховуючи, що податковим органом не доведено наявність правових підстав для стягнення заявленого в рамках цієї справи податкового боргу, відсутні підстави для задоволення позовних вимог.</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16 червня 2021 року по справі         № 200/7030/20-а можна ознайомитися за посиланням </w:t>
      </w:r>
      <w:hyperlink r:id="rId18" w:history="1">
        <w:r w:rsidRPr="005E3E8C">
          <w:rPr>
            <w:rFonts w:ascii="Times New Roman" w:eastAsia="Calibri" w:hAnsi="Times New Roman" w:cs="Times New Roman"/>
            <w:color w:val="0000FF"/>
            <w:sz w:val="28"/>
            <w:szCs w:val="28"/>
            <w:u w:val="single"/>
            <w:lang w:val="uk-UA"/>
          </w:rPr>
          <w:t>http://reestr.court.gov.ua/Review/97694888</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t>Якщо атестація робочих місць проведена з порушенням строків, а працівник до її проведення виконував роботу, яка дає право на пенсію за віком на пільгових умовах, цей період його роботи має бути зарахований до пільгового стажу.</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16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 xml:space="preserve">Першим апеляційним адміністративним судом розглянуто у відкритому судовому засіданні апеляційну скаргу фізичної </w:t>
      </w:r>
      <w:r w:rsidRPr="005E3E8C">
        <w:rPr>
          <w:rFonts w:ascii="Times New Roman" w:eastAsia="Calibri" w:hAnsi="Times New Roman" w:cs="Times New Roman"/>
          <w:sz w:val="28"/>
          <w:szCs w:val="28"/>
          <w:lang w:val="uk-UA"/>
        </w:rPr>
        <w:lastRenderedPageBreak/>
        <w:t>особи на рішення Донецького окружного адміністративного суду від 05 березня 2021 року за позовом фізичної особи до органу управління Пенсійного фонду України про визнання протиправним та скасування рішення, та зобов’язання вчинити певні дії.</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Рішенням органу пенсійного фонду особі відмовлено у перерахунку пенсії внаслідок переведення з пенсії за віком на пенсію по втраті годувальника через не врахування до пільгового стажу певних періодів роботи її померлого чоловіка.</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Вважаючи відповідне рішення органу пенсійного фонду протиправним, особа звернулась до суду з вимогою зобов’язати суб’єкта владних повноважень зарахувати деякі періоди роботи її померлого годувальника до страхового стажу та провести перерахунок пенсії.</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Вирішуючи наявний між сторонами спір, Перший ААС керувався наступним.</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Трудова книжка померлого чоловіка позивачки, а також довідка про підтвердження наявного трудового стажу для призначення пенсії за відсутності трудової книжки або відповідних записів у ній мають необхідні дані за спірні періоди, які свідчать про роботу особи на посадах з повним робочим днем.</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Також, матеріали справи містять наказ про проведення атестації робочих  місць і не зважаючи на те, що відповідну атестацію проведено пізніше у часі, ніж за який існує спір, відповідно до пункту 4 Порядку проведення атестації, якщо остання проведена з порушенням строків, а працівник до її проведення виконував роботу, яка дає право на пенсію за віком на пільгових умовах, цей період його роботи має бути зарахований до пільгового стажу за результатами попередньої атестації.</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За таких обставин, Перший ААС дійшов висновку про те, що позовні вимоги є такими, що заявлені </w:t>
      </w:r>
      <w:proofErr w:type="spellStart"/>
      <w:r w:rsidRPr="005E3E8C">
        <w:rPr>
          <w:rFonts w:ascii="Times New Roman" w:eastAsia="Calibri" w:hAnsi="Times New Roman" w:cs="Times New Roman"/>
          <w:sz w:val="28"/>
          <w:szCs w:val="28"/>
          <w:lang w:val="uk-UA"/>
        </w:rPr>
        <w:t>правомірно</w:t>
      </w:r>
      <w:proofErr w:type="spellEnd"/>
      <w:r w:rsidRPr="005E3E8C">
        <w:rPr>
          <w:rFonts w:ascii="Times New Roman" w:eastAsia="Calibri" w:hAnsi="Times New Roman" w:cs="Times New Roman"/>
          <w:sz w:val="28"/>
          <w:szCs w:val="28"/>
          <w:lang w:val="uk-UA"/>
        </w:rPr>
        <w:t xml:space="preserve"> та підлягають задоволенню.</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lastRenderedPageBreak/>
        <w:t xml:space="preserve">Детальніше з текстом постанови від 16 червня 2021 року по справі         № 200/76/21-а можна ознайомитися за посиланням </w:t>
      </w:r>
      <w:hyperlink r:id="rId19" w:history="1">
        <w:r w:rsidRPr="005E3E8C">
          <w:rPr>
            <w:rFonts w:ascii="Times New Roman" w:eastAsia="Calibri" w:hAnsi="Times New Roman" w:cs="Times New Roman"/>
            <w:color w:val="0000FF"/>
            <w:sz w:val="28"/>
            <w:szCs w:val="28"/>
            <w:u w:val="single"/>
            <w:lang w:val="uk-UA"/>
          </w:rPr>
          <w:t>http://reestr.court.gov.ua/Review/97694891</w:t>
        </w:r>
      </w:hyperlink>
      <w:r w:rsidRPr="005E3E8C">
        <w:rPr>
          <w:rFonts w:ascii="Times New Roman" w:eastAsia="Calibri" w:hAnsi="Times New Roman" w:cs="Times New Roman"/>
          <w:sz w:val="28"/>
          <w:szCs w:val="28"/>
          <w:lang w:val="uk-UA"/>
        </w:rPr>
        <w:t>.</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p>
    <w:p w:rsidR="005E3E8C" w:rsidRPr="005E3E8C" w:rsidRDefault="005E3E8C" w:rsidP="005E3E8C">
      <w:pPr>
        <w:spacing w:after="0" w:line="360" w:lineRule="auto"/>
        <w:ind w:firstLine="567"/>
        <w:jc w:val="both"/>
        <w:rPr>
          <w:rFonts w:ascii="Times New Roman" w:eastAsia="Calibri" w:hAnsi="Times New Roman" w:cs="Times New Roman"/>
          <w:b/>
          <w:sz w:val="28"/>
          <w:szCs w:val="28"/>
          <w:lang w:val="uk-UA"/>
        </w:rPr>
      </w:pPr>
      <w:r w:rsidRPr="005E3E8C">
        <w:rPr>
          <w:rFonts w:ascii="Times New Roman" w:eastAsia="Calibri" w:hAnsi="Times New Roman" w:cs="Times New Roman"/>
          <w:b/>
          <w:sz w:val="28"/>
          <w:szCs w:val="28"/>
          <w:lang w:val="uk-UA"/>
        </w:rPr>
        <w:t>У разі проведення податковим органом перевірки поза межами строків, визначених Податковим кодексом України, прийняте за результатами такої перевірки податкове повідомлення-рішення про нарахування штрафних санкцій підлягає скасуванню.</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p>
    <w:p w:rsidR="005E3E8C" w:rsidRPr="005E3E8C" w:rsidRDefault="005E3E8C" w:rsidP="005E3E8C">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16 червня 2021 року</w:t>
      </w:r>
      <w:r w:rsidRPr="005E3E8C">
        <w:rPr>
          <w:rFonts w:ascii="Times New Roman" w:eastAsia="Calibri" w:hAnsi="Times New Roman" w:cs="Times New Roman"/>
          <w:b/>
          <w:sz w:val="28"/>
          <w:szCs w:val="28"/>
          <w:lang w:val="uk-UA"/>
        </w:rPr>
        <w:t xml:space="preserve"> </w:t>
      </w:r>
      <w:r w:rsidRPr="005E3E8C">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апеляційну скаргу Державного підприємства та Головного управління ДПС на рішення Донецького окружного адміністративного суду від 10 березня 2021 року у справі  № 200/10669/20-а за позовом Державного підприємства до Головного управління ДПС про скасування податкового повідомлення-рішення та зобов’язання вчинити дії.</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Внаслідок проведення камеральної перевірки органом податкової служби виявлено, що у порушення вимог податкового законодавства Державним підприємством несвоєчасно сплачено суму узгоджених податкових зобов’язань з податку на додану вартість, що, у подальшому, стало підставою для винесення податкового повідомлення-рішення, яким до Державного підприємства застосовано штрафні санкції, що і стало приводом для звернення до суду.</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Внаслідок апеляційного перегляду, Перший ААС погодився з висновком суду першої інстанції про те, що контролюючий орган у порушення вимог податкового законодавства провів перевірку підприємства поза межами встановлених Податковим кодексом України (1095 днів) та за результатами такої перевірки застосував штраф за прострочення сплати податкового боргу, </w:t>
      </w:r>
      <w:r w:rsidRPr="005E3E8C">
        <w:rPr>
          <w:rFonts w:ascii="Times New Roman" w:eastAsia="Calibri" w:hAnsi="Times New Roman" w:cs="Times New Roman"/>
          <w:sz w:val="28"/>
          <w:szCs w:val="28"/>
          <w:lang w:val="uk-UA"/>
        </w:rPr>
        <w:lastRenderedPageBreak/>
        <w:t>чим вийшов за межі наданих повноважень, через що оскаржуване податкове повідомлення-рішення підлягає скасуванню.</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Однак, що стосується позовних вимог в частині зобов’язання провести коригування даних в єдиному кабінеті платника податків щодо зменшення нарахованої пені з ПДВ, Перший ААС зазначив, що оскільки несвоєчасно сплачені платником грошові зобов’язання, на які суб’єкту господарювання нараховано пеню, визначені у декларації з податку на додану вартість за певний період у 2015 році, то це свідчить про те, що камеральна перевірка такої декларації проведена поза межами строку, передбаченого п. 102.1 ст. 102 ПК України, а відтак, платник податків наразі вважається вільним від нарахування пені.</w:t>
      </w:r>
    </w:p>
    <w:p w:rsidR="005E3E8C" w:rsidRPr="005E3E8C" w:rsidRDefault="005E3E8C" w:rsidP="005E3E8C">
      <w:pPr>
        <w:spacing w:after="0" w:line="360" w:lineRule="auto"/>
        <w:ind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Верховним Судом у постанові від 06 лютого 2018 року у справі № 807/2097/16.</w:t>
      </w:r>
    </w:p>
    <w:p w:rsidR="005E3E8C" w:rsidRPr="005E3E8C" w:rsidRDefault="005E3E8C" w:rsidP="005E3E8C">
      <w:pPr>
        <w:spacing w:after="0" w:line="360" w:lineRule="auto"/>
        <w:ind w:right="-17" w:firstLine="567"/>
        <w:jc w:val="both"/>
        <w:rPr>
          <w:rFonts w:ascii="Times New Roman" w:eastAsia="Calibri" w:hAnsi="Times New Roman" w:cs="Times New Roman"/>
          <w:sz w:val="28"/>
          <w:szCs w:val="28"/>
          <w:lang w:val="uk-UA"/>
        </w:rPr>
      </w:pPr>
      <w:r w:rsidRPr="005E3E8C">
        <w:rPr>
          <w:rFonts w:ascii="Times New Roman" w:eastAsia="Calibri" w:hAnsi="Times New Roman" w:cs="Times New Roman"/>
          <w:sz w:val="28"/>
          <w:szCs w:val="28"/>
          <w:lang w:val="uk-UA"/>
        </w:rPr>
        <w:t xml:space="preserve">Детальніше з текстом постанови від 16 червня 2021 року по справі         № 200/10669/20-а можна ознайомитися за посиланням </w:t>
      </w:r>
      <w:hyperlink r:id="rId20" w:history="1">
        <w:r w:rsidRPr="005E3E8C">
          <w:rPr>
            <w:rFonts w:ascii="Times New Roman" w:eastAsia="Calibri" w:hAnsi="Times New Roman" w:cs="Times New Roman"/>
            <w:color w:val="0000FF"/>
            <w:sz w:val="28"/>
            <w:szCs w:val="28"/>
            <w:u w:val="single"/>
            <w:lang w:val="uk-UA"/>
          </w:rPr>
          <w:t>http://reestr.court.gov.ua/Review/97694947</w:t>
        </w:r>
      </w:hyperlink>
      <w:r w:rsidRPr="005E3E8C">
        <w:rPr>
          <w:rFonts w:ascii="Times New Roman" w:eastAsia="Calibri" w:hAnsi="Times New Roman" w:cs="Times New Roman"/>
          <w:sz w:val="28"/>
          <w:szCs w:val="28"/>
          <w:lang w:val="uk-UA"/>
        </w:rPr>
        <w:t>.</w:t>
      </w:r>
    </w:p>
    <w:sectPr w:rsidR="005E3E8C" w:rsidRPr="005E3E8C" w:rsidSect="003566AF">
      <w:headerReference w:type="default" r:id="rId21"/>
      <w:footerReference w:type="default" r:id="rId22"/>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3B8" w:rsidRDefault="000E43B8" w:rsidP="005E5476">
      <w:pPr>
        <w:spacing w:after="0" w:line="240" w:lineRule="auto"/>
      </w:pPr>
      <w:r>
        <w:separator/>
      </w:r>
    </w:p>
  </w:endnote>
  <w:endnote w:type="continuationSeparator" w:id="0">
    <w:p w:rsidR="000E43B8" w:rsidRDefault="000E43B8"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5E3E8C">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5E3E8C">
      <w:rPr>
        <w:rFonts w:ascii="Calibri Light" w:eastAsiaTheme="majorEastAsia" w:hAnsi="Calibri Light" w:cs="Calibri Light"/>
        <w:color w:val="000000" w:themeColor="text1"/>
        <w:sz w:val="24"/>
        <w:szCs w:val="26"/>
        <w:lang w:val="uk-UA"/>
      </w:rPr>
      <w:t>6</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468D4">
      <w:rPr>
        <w:rFonts w:ascii="Calibri Light" w:eastAsiaTheme="majorEastAsia" w:hAnsi="Calibri Light" w:cs="Calibri Light"/>
        <w:color w:val="000000" w:themeColor="text1"/>
        <w:sz w:val="24"/>
        <w:szCs w:val="26"/>
        <w:lang w:val="uk-UA"/>
      </w:rPr>
      <w:t>3</w:t>
    </w:r>
    <w:r w:rsidR="005E3E8C">
      <w:rPr>
        <w:rFonts w:ascii="Calibri Light" w:eastAsiaTheme="majorEastAsia" w:hAnsi="Calibri Light" w:cs="Calibri Light"/>
        <w:color w:val="000000" w:themeColor="text1"/>
        <w:sz w:val="24"/>
        <w:szCs w:val="26"/>
        <w:lang w:val="uk-UA"/>
      </w:rPr>
      <w:t>0</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5E3E8C">
      <w:rPr>
        <w:rFonts w:ascii="Calibri Light" w:eastAsiaTheme="majorEastAsia" w:hAnsi="Calibri Light" w:cs="Calibri Light"/>
        <w:color w:val="000000" w:themeColor="text1"/>
        <w:sz w:val="24"/>
        <w:szCs w:val="26"/>
        <w:lang w:val="uk-UA"/>
      </w:rPr>
      <w:t>6</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3B8" w:rsidRDefault="000E43B8" w:rsidP="005E5476">
      <w:pPr>
        <w:spacing w:after="0" w:line="240" w:lineRule="auto"/>
      </w:pPr>
      <w:r>
        <w:separator/>
      </w:r>
    </w:p>
  </w:footnote>
  <w:footnote w:type="continuationSeparator" w:id="0">
    <w:p w:rsidR="000E43B8" w:rsidRDefault="000E43B8"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01250575" wp14:editId="044F1A3F">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2E33BE0"/>
    <w:multiLevelType w:val="hybridMultilevel"/>
    <w:tmpl w:val="7F7E8256"/>
    <w:lvl w:ilvl="0" w:tplc="CA863228">
      <w:start w:val="1"/>
      <w:numFmt w:val="decimal"/>
      <w:lvlText w:val="%1."/>
      <w:lvlJc w:val="left"/>
      <w:pPr>
        <w:ind w:left="927" w:hanging="360"/>
      </w:pPr>
      <w:rPr>
        <w:rFonts w:asciiTheme="minorHAnsi" w:hAnsiTheme="minorHAnsi" w:cstheme="minorBidi" w:hint="default"/>
        <w:color w:val="000000"/>
        <w:sz w:val="27"/>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D7C0EEB"/>
    <w:multiLevelType w:val="hybridMultilevel"/>
    <w:tmpl w:val="0A5CBBCC"/>
    <w:lvl w:ilvl="0" w:tplc="04D0DF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B2F49F9"/>
    <w:multiLevelType w:val="hybridMultilevel"/>
    <w:tmpl w:val="5E5A3448"/>
    <w:lvl w:ilvl="0" w:tplc="EFB6AE3A">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5"/>
  </w:num>
  <w:num w:numId="4">
    <w:abstractNumId w:val="7"/>
  </w:num>
  <w:num w:numId="5">
    <w:abstractNumId w:val="8"/>
  </w:num>
  <w:num w:numId="6">
    <w:abstractNumId w:val="6"/>
  </w:num>
  <w:num w:numId="7">
    <w:abstractNumId w:val="11"/>
  </w:num>
  <w:num w:numId="8">
    <w:abstractNumId w:val="3"/>
  </w:num>
  <w:num w:numId="9">
    <w:abstractNumId w:val="9"/>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0E43B8"/>
    <w:rsid w:val="001041CE"/>
    <w:rsid w:val="001468D4"/>
    <w:rsid w:val="00155A12"/>
    <w:rsid w:val="001B6F64"/>
    <w:rsid w:val="001C1FAA"/>
    <w:rsid w:val="001D595D"/>
    <w:rsid w:val="001E75F2"/>
    <w:rsid w:val="001F7DA1"/>
    <w:rsid w:val="00286D55"/>
    <w:rsid w:val="0028761F"/>
    <w:rsid w:val="00290632"/>
    <w:rsid w:val="002B4B9E"/>
    <w:rsid w:val="003566AF"/>
    <w:rsid w:val="00361E5D"/>
    <w:rsid w:val="003A2FAD"/>
    <w:rsid w:val="003C405E"/>
    <w:rsid w:val="00455D13"/>
    <w:rsid w:val="004672C9"/>
    <w:rsid w:val="00472C7B"/>
    <w:rsid w:val="0047649B"/>
    <w:rsid w:val="004B127D"/>
    <w:rsid w:val="004B28C6"/>
    <w:rsid w:val="004D0F85"/>
    <w:rsid w:val="004F6D6A"/>
    <w:rsid w:val="00522638"/>
    <w:rsid w:val="005339E5"/>
    <w:rsid w:val="00583A1B"/>
    <w:rsid w:val="00584357"/>
    <w:rsid w:val="00597784"/>
    <w:rsid w:val="005E3E8C"/>
    <w:rsid w:val="005E5476"/>
    <w:rsid w:val="005F424F"/>
    <w:rsid w:val="00675CF0"/>
    <w:rsid w:val="006B607A"/>
    <w:rsid w:val="006D670C"/>
    <w:rsid w:val="007165F7"/>
    <w:rsid w:val="00737457"/>
    <w:rsid w:val="007A055C"/>
    <w:rsid w:val="007F2C73"/>
    <w:rsid w:val="008423B7"/>
    <w:rsid w:val="00886495"/>
    <w:rsid w:val="008B28B5"/>
    <w:rsid w:val="009609E2"/>
    <w:rsid w:val="009B12D6"/>
    <w:rsid w:val="00A24A41"/>
    <w:rsid w:val="00A66FE0"/>
    <w:rsid w:val="00A8742C"/>
    <w:rsid w:val="00AA30DC"/>
    <w:rsid w:val="00AA4714"/>
    <w:rsid w:val="00AB7DE8"/>
    <w:rsid w:val="00AD6632"/>
    <w:rsid w:val="00B06073"/>
    <w:rsid w:val="00B17A14"/>
    <w:rsid w:val="00BD3FCB"/>
    <w:rsid w:val="00C217F1"/>
    <w:rsid w:val="00C72B38"/>
    <w:rsid w:val="00C769EE"/>
    <w:rsid w:val="00C968EE"/>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arch.ligazakon.ua/l_doc2.nsf/link1/an_49519/ed_2020_09_30/pravo1/KD0001.html?pravo=1" TargetMode="External"/><Relationship Id="rId18" Type="http://schemas.openxmlformats.org/officeDocument/2006/relationships/hyperlink" Target="http://reestr.court.gov.ua/Review/97694888"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arch.ligazakon.ua/l_doc2.nsf/link1/ed_2021_02_13/pravo1/Z970280.html?pravo=1" TargetMode="External"/><Relationship Id="rId17" Type="http://schemas.openxmlformats.org/officeDocument/2006/relationships/hyperlink" Target="http://reestr.court.gov.ua/Review/97665509" TargetMode="External"/><Relationship Id="rId2" Type="http://schemas.openxmlformats.org/officeDocument/2006/relationships/customXml" Target="../customXml/item2.xml"/><Relationship Id="rId16" Type="http://schemas.openxmlformats.org/officeDocument/2006/relationships/hyperlink" Target="http://reestr.court.gov.ua/Review/97530702" TargetMode="External"/><Relationship Id="rId20" Type="http://schemas.openxmlformats.org/officeDocument/2006/relationships/hyperlink" Target="http://reestr.court.gov.ua/Review/9769494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reestr.court.gov.ua/Review/97390720"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reestr.court.gov.ua/Review/9769489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7459233"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38F6F0-8600-4AC6-AA74-E5A500FD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11</Pages>
  <Words>2610</Words>
  <Characters>14880</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01.06.2021 по 30.06.2021</dc:subject>
  <dc:creator>[Заголовок документа]</dc:creator>
  <cp:keywords/>
  <dc:description/>
  <cp:lastModifiedBy>User</cp:lastModifiedBy>
  <cp:revision>31</cp:revision>
  <cp:lastPrinted>2019-03-20T15:53:00Z</cp:lastPrinted>
  <dcterms:created xsi:type="dcterms:W3CDTF">2019-03-20T15:52:00Z</dcterms:created>
  <dcterms:modified xsi:type="dcterms:W3CDTF">2021-07-06T06:19:00Z</dcterms:modified>
</cp:coreProperties>
</file>